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3094" w14:textId="77777777"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60D688C9" w14:textId="77777777" w:rsidTr="005F7F7E">
        <w:tc>
          <w:tcPr>
            <w:tcW w:w="2438" w:type="dxa"/>
            <w:shd w:val="clear" w:color="auto" w:fill="auto"/>
          </w:tcPr>
          <w:p w14:paraId="5D1B4CF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B64B090" w14:textId="732094BF" w:rsidR="00F445B1" w:rsidRPr="00181E36" w:rsidRDefault="00181E36" w:rsidP="00C40A94">
            <w:pPr>
              <w:rPr>
                <w:rStyle w:val="Firstpagetablebold"/>
                <w:color w:val="auto"/>
              </w:rPr>
            </w:pPr>
            <w:r w:rsidRPr="00181E36">
              <w:rPr>
                <w:rStyle w:val="Firstpagetablebold"/>
                <w:color w:val="auto"/>
              </w:rPr>
              <w:t xml:space="preserve">Shareholder </w:t>
            </w:r>
            <w:r>
              <w:rPr>
                <w:rStyle w:val="Firstpagetablebold"/>
                <w:color w:val="auto"/>
              </w:rPr>
              <w:t xml:space="preserve"> </w:t>
            </w:r>
            <w:r w:rsidR="00C40A94">
              <w:rPr>
                <w:rStyle w:val="Firstpagetablebold"/>
                <w:color w:val="auto"/>
              </w:rPr>
              <w:t>meeting</w:t>
            </w:r>
            <w:r>
              <w:rPr>
                <w:rStyle w:val="Firstpagetablebold"/>
                <w:color w:val="auto"/>
              </w:rPr>
              <w:t xml:space="preserve">: </w:t>
            </w:r>
            <w:r w:rsidRPr="00181E36">
              <w:rPr>
                <w:rStyle w:val="Firstpagetablebold"/>
                <w:color w:val="auto"/>
              </w:rPr>
              <w:t>The Housing Group</w:t>
            </w:r>
            <w:r w:rsidR="004711FC" w:rsidRPr="00181E36">
              <w:rPr>
                <w:rStyle w:val="Firstpagetablebold"/>
                <w:color w:val="auto"/>
              </w:rPr>
              <w:t xml:space="preserve"> </w:t>
            </w:r>
          </w:p>
        </w:tc>
      </w:tr>
      <w:tr w:rsidR="00CE544A" w:rsidRPr="00975B07" w14:paraId="76AECDBC" w14:textId="77777777" w:rsidTr="005F7F7E">
        <w:tc>
          <w:tcPr>
            <w:tcW w:w="2438" w:type="dxa"/>
            <w:shd w:val="clear" w:color="auto" w:fill="auto"/>
          </w:tcPr>
          <w:p w14:paraId="214A6641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E41A048" w14:textId="27709274" w:rsidR="00F445B1" w:rsidRPr="00181E36" w:rsidRDefault="00892AAD" w:rsidP="00181E36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30 May</w:t>
            </w:r>
            <w:r w:rsidR="008B1572">
              <w:rPr>
                <w:rStyle w:val="Firstpagetablebold"/>
                <w:color w:val="auto"/>
              </w:rPr>
              <w:t xml:space="preserve"> 2019</w:t>
            </w:r>
            <w:r w:rsidR="003B7DA1" w:rsidRPr="00181E36">
              <w:rPr>
                <w:rStyle w:val="Firstpagetablebold"/>
                <w:color w:val="auto"/>
              </w:rPr>
              <w:t xml:space="preserve"> </w:t>
            </w:r>
          </w:p>
        </w:tc>
      </w:tr>
      <w:tr w:rsidR="00CE544A" w:rsidRPr="00975B07" w14:paraId="5CA401F0" w14:textId="77777777" w:rsidTr="005F7F7E">
        <w:tc>
          <w:tcPr>
            <w:tcW w:w="2438" w:type="dxa"/>
            <w:shd w:val="clear" w:color="auto" w:fill="auto"/>
          </w:tcPr>
          <w:p w14:paraId="2B178E7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1C278E0" w14:textId="77777777" w:rsidR="00F445B1" w:rsidRPr="00181E36" w:rsidRDefault="004711FC" w:rsidP="0050197A">
            <w:pPr>
              <w:rPr>
                <w:rStyle w:val="Firstpagetablebold"/>
                <w:color w:val="auto"/>
              </w:rPr>
            </w:pPr>
            <w:r w:rsidRPr="0050197A">
              <w:rPr>
                <w:rStyle w:val="Firstpagetablebold"/>
                <w:color w:val="auto"/>
              </w:rPr>
              <w:t xml:space="preserve">Company </w:t>
            </w:r>
            <w:r w:rsidR="00181E36" w:rsidRPr="0050197A">
              <w:rPr>
                <w:rStyle w:val="Firstpagetablebold"/>
                <w:color w:val="auto"/>
              </w:rPr>
              <w:t xml:space="preserve">Secretary </w:t>
            </w:r>
          </w:p>
        </w:tc>
      </w:tr>
      <w:tr w:rsidR="00CE544A" w:rsidRPr="00975B07" w14:paraId="4A27F03A" w14:textId="77777777" w:rsidTr="005F7F7E">
        <w:tc>
          <w:tcPr>
            <w:tcW w:w="2438" w:type="dxa"/>
            <w:shd w:val="clear" w:color="auto" w:fill="auto"/>
          </w:tcPr>
          <w:p w14:paraId="1AEB48D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F56A5EA" w14:textId="55DD463C" w:rsidR="00F445B1" w:rsidRPr="00181E36" w:rsidRDefault="00181E36" w:rsidP="00A706D1">
            <w:pPr>
              <w:rPr>
                <w:rStyle w:val="Firstpagetablebold"/>
                <w:color w:val="auto"/>
              </w:rPr>
            </w:pPr>
            <w:r w:rsidRPr="00181E36">
              <w:rPr>
                <w:rStyle w:val="Firstpagetablebold"/>
                <w:color w:val="auto"/>
              </w:rPr>
              <w:t>Appointment of Directo</w:t>
            </w:r>
            <w:r>
              <w:rPr>
                <w:rStyle w:val="Firstpagetablebold"/>
                <w:color w:val="auto"/>
              </w:rPr>
              <w:t>r</w:t>
            </w:r>
            <w:r w:rsidRPr="00181E36">
              <w:rPr>
                <w:rStyle w:val="Firstpagetablebold"/>
                <w:color w:val="auto"/>
              </w:rPr>
              <w:t xml:space="preserve"> to the Housing Group of Companies</w:t>
            </w:r>
            <w:r>
              <w:rPr>
                <w:rStyle w:val="Firstpagetablebold"/>
                <w:color w:val="auto"/>
              </w:rPr>
              <w:t xml:space="preserve"> </w:t>
            </w:r>
          </w:p>
        </w:tc>
      </w:tr>
    </w:tbl>
    <w:p w14:paraId="7937C253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DA64611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B26E18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7B3B48B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EDACE2B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2B243937" w14:textId="5CD51644" w:rsidR="00D5547E" w:rsidRPr="001356F1" w:rsidRDefault="00805561" w:rsidP="00132AEB">
            <w:r>
              <w:t xml:space="preserve">Only the Shareholder may </w:t>
            </w:r>
            <w:r w:rsidR="00181E36">
              <w:t xml:space="preserve">appoint </w:t>
            </w:r>
            <w:r w:rsidR="002E0AB5">
              <w:t xml:space="preserve">Board </w:t>
            </w:r>
            <w:r w:rsidR="00181E36">
              <w:t>Directors to the Housing Group of companies</w:t>
            </w:r>
            <w:r w:rsidR="00665B4C">
              <w:t xml:space="preserve"> and th</w:t>
            </w:r>
            <w:r w:rsidR="002E0AB5">
              <w:t>is report seeks the Shareholder’s agreem</w:t>
            </w:r>
            <w:r w:rsidR="00322B92">
              <w:t>ent to the appointment proposed</w:t>
            </w:r>
            <w:r w:rsidR="002E0AB5">
              <w:t xml:space="preserve"> below.</w:t>
            </w:r>
          </w:p>
        </w:tc>
      </w:tr>
      <w:tr w:rsidR="005F7F7E" w:rsidRPr="00975B07" w14:paraId="19C7632F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4220FDD" w14:textId="77777777" w:rsidR="005F7F7E" w:rsidRPr="00975B07" w:rsidRDefault="005F7F7E" w:rsidP="0050197A">
            <w:r>
              <w:rPr>
                <w:rStyle w:val="Firstpagetablebold"/>
              </w:rPr>
              <w:t>Recommendation(s):</w:t>
            </w:r>
            <w:r w:rsidRPr="00181E36">
              <w:rPr>
                <w:rStyle w:val="Firstpagetablebold"/>
                <w:color w:val="auto"/>
              </w:rPr>
              <w:t xml:space="preserve">That the </w:t>
            </w:r>
            <w:r w:rsidR="00181E36" w:rsidRPr="00181E36">
              <w:rPr>
                <w:rStyle w:val="Firstpagetablebold"/>
                <w:color w:val="auto"/>
              </w:rPr>
              <w:t>Housing Group</w:t>
            </w:r>
            <w:r w:rsidR="004711FC" w:rsidRPr="00181E36">
              <w:rPr>
                <w:rStyle w:val="Firstpagetablebold"/>
                <w:color w:val="auto"/>
              </w:rPr>
              <w:t xml:space="preserve"> Shareholder </w:t>
            </w:r>
            <w:r w:rsidRPr="00181E36">
              <w:rPr>
                <w:rStyle w:val="Firstpagetablebold"/>
                <w:color w:val="auto"/>
              </w:rPr>
              <w:t>resolves to:</w:t>
            </w:r>
          </w:p>
        </w:tc>
      </w:tr>
      <w:tr w:rsidR="0030208D" w:rsidRPr="00975B07" w14:paraId="108A1DBC" w14:textId="77777777" w:rsidTr="00A706D1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134CA02" w14:textId="531972F8" w:rsidR="0030208D" w:rsidRPr="00975B07" w:rsidRDefault="0030208D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367097" w14:textId="37ABB358" w:rsidR="0030208D" w:rsidRPr="00A706D1" w:rsidRDefault="0030208D" w:rsidP="00D609D3">
            <w:pPr>
              <w:rPr>
                <w:b/>
                <w:color w:val="auto"/>
              </w:rPr>
            </w:pPr>
            <w:r w:rsidRPr="00D609D3">
              <w:rPr>
                <w:b/>
                <w:color w:val="auto"/>
              </w:rPr>
              <w:t xml:space="preserve"> </w:t>
            </w:r>
          </w:p>
        </w:tc>
      </w:tr>
      <w:tr w:rsidR="0030208D" w:rsidRPr="00975B07" w14:paraId="685EEDFF" w14:textId="77777777" w:rsidTr="00A706D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DA376B6" w14:textId="02817281" w:rsidR="0030208D" w:rsidRPr="00975B07" w:rsidRDefault="002E0AB5" w:rsidP="004A6D2F">
            <w:r>
              <w:t>1</w:t>
            </w:r>
            <w:r w:rsidR="00046D2B" w:rsidRPr="00975B07"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126FDE" w14:textId="797B19AA" w:rsidR="0030208D" w:rsidRDefault="00181E36" w:rsidP="007D703F">
            <w:pPr>
              <w:rPr>
                <w:rStyle w:val="Firstpagetablebold"/>
                <w:b w:val="0"/>
                <w:color w:val="auto"/>
              </w:rPr>
            </w:pPr>
            <w:r w:rsidRPr="006370CC">
              <w:rPr>
                <w:color w:val="auto"/>
              </w:rPr>
              <w:t xml:space="preserve">Appoint </w:t>
            </w:r>
            <w:r w:rsidR="007D703F" w:rsidRPr="006370CC">
              <w:rPr>
                <w:color w:val="auto"/>
              </w:rPr>
              <w:t>Richard Connolly</w:t>
            </w:r>
            <w:r w:rsidRPr="006370CC">
              <w:rPr>
                <w:b/>
                <w:color w:val="auto"/>
              </w:rPr>
              <w:t xml:space="preserve"> </w:t>
            </w:r>
            <w:r w:rsidRPr="006370CC">
              <w:rPr>
                <w:rStyle w:val="Firstpagetablebold"/>
                <w:b w:val="0"/>
                <w:color w:val="auto"/>
              </w:rPr>
              <w:t xml:space="preserve">as a Director of Oxford City Housing Limited, Oxford City Housing (Development) Limited and Oxford City Housing (Investment) Limited with </w:t>
            </w:r>
            <w:r w:rsidR="00FF0D32">
              <w:rPr>
                <w:rStyle w:val="Firstpagetablebold"/>
                <w:b w:val="0"/>
                <w:color w:val="auto"/>
              </w:rPr>
              <w:t>immediate effect</w:t>
            </w:r>
            <w:r w:rsidR="00A706D1" w:rsidRPr="006370CC">
              <w:rPr>
                <w:rStyle w:val="Firstpagetablebold"/>
                <w:b w:val="0"/>
                <w:color w:val="auto"/>
              </w:rPr>
              <w:t>.</w:t>
            </w:r>
          </w:p>
          <w:p w14:paraId="230DED8D" w14:textId="04345A33" w:rsidR="002E0AB5" w:rsidRPr="00A706D1" w:rsidRDefault="002E0AB5" w:rsidP="007D703F">
            <w:pPr>
              <w:rPr>
                <w:b/>
                <w:color w:val="auto"/>
              </w:rPr>
            </w:pPr>
          </w:p>
        </w:tc>
      </w:tr>
    </w:tbl>
    <w:p w14:paraId="79DAC04F" w14:textId="77777777" w:rsidR="00CE544A" w:rsidRPr="009E51FC" w:rsidRDefault="00CE544A" w:rsidP="004A6D2F"/>
    <w:p w14:paraId="58108358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0C8BAF7F" w14:textId="3063AA59" w:rsidR="00E87F7A" w:rsidRDefault="0037705F" w:rsidP="005570B5">
      <w:pPr>
        <w:pStyle w:val="ListParagraph"/>
      </w:pPr>
      <w:r>
        <w:t xml:space="preserve">The Shareholder Agreement provides </w:t>
      </w:r>
      <w:r w:rsidR="00FF0D32">
        <w:t xml:space="preserve">that the </w:t>
      </w:r>
      <w:r w:rsidR="00373C13">
        <w:t>appoint</w:t>
      </w:r>
      <w:r w:rsidR="00FF0D32">
        <w:t>ment of Board Directors to</w:t>
      </w:r>
      <w:r w:rsidR="000C38DA">
        <w:t xml:space="preserve"> Oxford City</w:t>
      </w:r>
      <w:r>
        <w:t xml:space="preserve"> </w:t>
      </w:r>
      <w:r w:rsidR="00892889">
        <w:t>Council’s housing g</w:t>
      </w:r>
      <w:r>
        <w:t>roup of companies</w:t>
      </w:r>
      <w:r w:rsidR="00892889">
        <w:t xml:space="preserve"> (“the Housing Group”) is a matter reserved for the Shareholder</w:t>
      </w:r>
      <w:r w:rsidR="00E87F7A" w:rsidRPr="001356F1">
        <w:t>.</w:t>
      </w:r>
    </w:p>
    <w:p w14:paraId="24982DE7" w14:textId="0ACA6007" w:rsidR="00396FC3" w:rsidRPr="001356F1" w:rsidRDefault="00892AAD" w:rsidP="00396FC3">
      <w:pPr>
        <w:pStyle w:val="ListParagraph"/>
      </w:pPr>
      <w:r>
        <w:t>The Housing Group directors and</w:t>
      </w:r>
      <w:r w:rsidR="00396FC3">
        <w:t xml:space="preserve"> City Council officers are proposing the appointment</w:t>
      </w:r>
      <w:r>
        <w:t xml:space="preserve"> of a</w:t>
      </w:r>
      <w:r w:rsidR="000D255B">
        <w:t xml:space="preserve"> Managing Director on an interim basis to bring in additional external capacity and expertise.</w:t>
      </w:r>
      <w:r w:rsidR="00396FC3">
        <w:t xml:space="preserve">  The focus for the Interim Managing Director role </w:t>
      </w:r>
      <w:r w:rsidR="000D255B">
        <w:t xml:space="preserve">will be </w:t>
      </w:r>
      <w:r>
        <w:t>on ensuring that the</w:t>
      </w:r>
      <w:r w:rsidR="00396FC3">
        <w:t xml:space="preserve"> delivery</w:t>
      </w:r>
      <w:r w:rsidR="000D255B">
        <w:t>, resource</w:t>
      </w:r>
      <w:r w:rsidR="00396FC3">
        <w:t xml:space="preserve"> and governance arrangements are fit for </w:t>
      </w:r>
      <w:r w:rsidR="000D255B">
        <w:t xml:space="preserve">the </w:t>
      </w:r>
      <w:r w:rsidR="00396FC3">
        <w:t>purpose</w:t>
      </w:r>
      <w:r>
        <w:t xml:space="preserve"> of delivering the Housing Group</w:t>
      </w:r>
      <w:r w:rsidR="000D255B">
        <w:t xml:space="preserve"> business plan.  The role will also </w:t>
      </w:r>
      <w:r>
        <w:t>assist the Housing Group to assess</w:t>
      </w:r>
      <w:r w:rsidR="00396FC3">
        <w:t xml:space="preserve"> the potential for a further, expanded development programme and</w:t>
      </w:r>
      <w:r w:rsidR="000D255B">
        <w:t xml:space="preserve"> </w:t>
      </w:r>
      <w:r>
        <w:t xml:space="preserve">to </w:t>
      </w:r>
      <w:r w:rsidR="000D255B">
        <w:t>make recommendations on delivery model options</w:t>
      </w:r>
      <w:r w:rsidR="00396FC3">
        <w:t>.</w:t>
      </w:r>
    </w:p>
    <w:p w14:paraId="3888B4F9" w14:textId="029479FC" w:rsidR="0037705F" w:rsidRPr="00FF0D32" w:rsidRDefault="002E0AB5" w:rsidP="00FF0D32">
      <w:pPr>
        <w:pStyle w:val="Heading1"/>
      </w:pPr>
      <w:r>
        <w:t>Director Appointment</w:t>
      </w:r>
    </w:p>
    <w:p w14:paraId="609A80A0" w14:textId="3C31E180" w:rsidR="00373C13" w:rsidRPr="00373C13" w:rsidRDefault="000D255B" w:rsidP="008B1572">
      <w:pPr>
        <w:pStyle w:val="ListParagraph"/>
        <w:rPr>
          <w:rStyle w:val="Firstpagetablebold"/>
          <w:b w:val="0"/>
        </w:rPr>
      </w:pPr>
      <w:r>
        <w:t>Following a competitive recruitment process, i</w:t>
      </w:r>
      <w:r w:rsidR="00672348" w:rsidRPr="00A706D1">
        <w:t xml:space="preserve">t is proposed that </w:t>
      </w:r>
      <w:r w:rsidR="008B1572">
        <w:t>Richard Connolly</w:t>
      </w:r>
      <w:r w:rsidR="00373C13">
        <w:t xml:space="preserve"> </w:t>
      </w:r>
      <w:r w:rsidR="00B12625" w:rsidRPr="00A706D1">
        <w:t xml:space="preserve">be appointed as a Director of each of </w:t>
      </w:r>
      <w:r w:rsidR="008B1572" w:rsidRPr="00132AEB">
        <w:rPr>
          <w:rStyle w:val="Firstpagetablebold"/>
          <w:b w:val="0"/>
        </w:rPr>
        <w:t>Oxford City Housing Limited, Oxford City Housing (</w:t>
      </w:r>
      <w:r w:rsidR="008B1572" w:rsidRPr="00A706D1">
        <w:rPr>
          <w:rStyle w:val="Firstpagetablebold"/>
          <w:b w:val="0"/>
          <w:color w:val="auto"/>
        </w:rPr>
        <w:t>Development) Limited and Oxford City Housing (Investment) Limited</w:t>
      </w:r>
      <w:r w:rsidR="00373C13">
        <w:rPr>
          <w:rStyle w:val="Firstpagetablebold"/>
          <w:b w:val="0"/>
          <w:color w:val="auto"/>
        </w:rPr>
        <w:t>,</w:t>
      </w:r>
      <w:r w:rsidR="008B1572" w:rsidRPr="00A706D1">
        <w:t xml:space="preserve"> </w:t>
      </w:r>
      <w:r w:rsidR="00B12625" w:rsidRPr="00A706D1">
        <w:t>the three Housing Group companies</w:t>
      </w:r>
      <w:r w:rsidR="00373C13">
        <w:t>,</w:t>
      </w:r>
      <w:r w:rsidR="0037705F" w:rsidRPr="00A706D1">
        <w:rPr>
          <w:rStyle w:val="Firstpagetablebold"/>
          <w:b w:val="0"/>
          <w:color w:val="auto"/>
        </w:rPr>
        <w:t xml:space="preserve"> with </w:t>
      </w:r>
      <w:r w:rsidR="00FF0D32">
        <w:rPr>
          <w:rStyle w:val="Firstpagetablebold"/>
          <w:b w:val="0"/>
          <w:color w:val="auto"/>
        </w:rPr>
        <w:t>immediate effect</w:t>
      </w:r>
      <w:r w:rsidR="002E0AB5">
        <w:rPr>
          <w:rStyle w:val="Firstpagetablebold"/>
          <w:b w:val="0"/>
          <w:color w:val="auto"/>
        </w:rPr>
        <w:t>.</w:t>
      </w:r>
    </w:p>
    <w:p w14:paraId="223EB0D8" w14:textId="37D1090D" w:rsidR="00373C13" w:rsidRDefault="00373C13" w:rsidP="00373C13">
      <w:pPr>
        <w:pStyle w:val="ListParagraph"/>
      </w:pPr>
      <w:r>
        <w:lastRenderedPageBreak/>
        <w:t xml:space="preserve">Richard has extensive experience in advising local authorities, housing associations and housing/development companies on direction, governance, </w:t>
      </w:r>
      <w:r w:rsidR="00FF0D32">
        <w:t>investment and delivery. He</w:t>
      </w:r>
      <w:r>
        <w:t xml:space="preserve"> has been Chief Executive and Executive Director of housing development companies</w:t>
      </w:r>
      <w:r w:rsidR="000D255B">
        <w:t xml:space="preserve"> and</w:t>
      </w:r>
      <w:r>
        <w:t xml:space="preserve"> is a Non-Executive Director of two housing companies</w:t>
      </w:r>
      <w:r w:rsidR="000D255B">
        <w:t>.</w:t>
      </w:r>
      <w:r>
        <w:t xml:space="preserve"> </w:t>
      </w:r>
      <w:r w:rsidR="000D255B">
        <w:t>I</w:t>
      </w:r>
      <w:r>
        <w:t xml:space="preserve">n various roles </w:t>
      </w:r>
      <w:r w:rsidR="000D255B">
        <w:t xml:space="preserve">he </w:t>
      </w:r>
      <w:r>
        <w:t xml:space="preserve">has had responsibility for strategic leadership and direction, oversight and governance, finance and investment and delivery of housing growth through land assembly, construction, development, regeneration, and strategic partnerships. </w:t>
      </w:r>
    </w:p>
    <w:p w14:paraId="6F937F62" w14:textId="100CE303" w:rsidR="00B12625" w:rsidRDefault="00373C13" w:rsidP="008B1572">
      <w:pPr>
        <w:pStyle w:val="ListParagraph"/>
      </w:pPr>
      <w:r>
        <w:t>Richard will be employed by the Council on a fixed-term basis</w:t>
      </w:r>
      <w:r w:rsidR="00FF0D32">
        <w:t>, and</w:t>
      </w:r>
      <w:r>
        <w:t xml:space="preserve"> </w:t>
      </w:r>
      <w:r w:rsidR="00FF0D32">
        <w:t>seconded to the Housing G</w:t>
      </w:r>
      <w:r>
        <w:t>rou</w:t>
      </w:r>
      <w:r w:rsidR="00FF0D32">
        <w:t>p</w:t>
      </w:r>
      <w:r>
        <w:t>, with the intention that he is then appointed as Interim Managing Director of each</w:t>
      </w:r>
      <w:r w:rsidR="00FF0D32">
        <w:t xml:space="preserve"> company</w:t>
      </w:r>
      <w:r>
        <w:t>. He will be employed on a 3 days per week basis, for an initial period of 6 months, with a possibility of extension.</w:t>
      </w:r>
    </w:p>
    <w:p w14:paraId="088AC505" w14:textId="743ED77C" w:rsidR="00E87F7A" w:rsidRPr="001356F1" w:rsidRDefault="00132AEB" w:rsidP="005570B5">
      <w:pPr>
        <w:pStyle w:val="bParagraphtext"/>
      </w:pPr>
      <w:r>
        <w:t>No other changes are proposed to th</w:t>
      </w:r>
      <w:r w:rsidR="00B55E39">
        <w:t>e Boards of Directors of</w:t>
      </w:r>
      <w:r>
        <w:t xml:space="preserve"> the Housing Group of companies</w:t>
      </w:r>
      <w:r w:rsidR="00E87F7A" w:rsidRPr="001356F1">
        <w:t>.</w:t>
      </w:r>
      <w:r>
        <w:t xml:space="preserve"> </w:t>
      </w:r>
    </w:p>
    <w:p w14:paraId="4EB51261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7F5A19ED" w14:textId="703442AC" w:rsidR="008B1572" w:rsidRDefault="00132AEB" w:rsidP="005570B5">
      <w:pPr>
        <w:pStyle w:val="ListParagraph"/>
      </w:pPr>
      <w:r>
        <w:t xml:space="preserve">There are financial implications </w:t>
      </w:r>
      <w:r w:rsidR="008B1572">
        <w:t xml:space="preserve">for the Housing Group </w:t>
      </w:r>
      <w:r>
        <w:t>arising from this report</w:t>
      </w:r>
      <w:r w:rsidR="00E87F7A" w:rsidRPr="001356F1">
        <w:t>.</w:t>
      </w:r>
      <w:r>
        <w:t xml:space="preserve">  </w:t>
      </w:r>
      <w:r w:rsidR="00373C13" w:rsidRPr="00373C13">
        <w:t>While a</w:t>
      </w:r>
      <w:r w:rsidR="00B92943" w:rsidRPr="00373C13">
        <w:t>n</w:t>
      </w:r>
      <w:r w:rsidR="00B92943">
        <w:t xml:space="preserve"> employee </w:t>
      </w:r>
      <w:r w:rsidR="00672348">
        <w:t xml:space="preserve">of </w:t>
      </w:r>
      <w:r w:rsidR="00B92943">
        <w:t xml:space="preserve">Oxford City </w:t>
      </w:r>
      <w:r>
        <w:t xml:space="preserve">appointed as </w:t>
      </w:r>
      <w:r w:rsidR="00672348">
        <w:t xml:space="preserve">a </w:t>
      </w:r>
      <w:r>
        <w:t>Company Director</w:t>
      </w:r>
      <w:r w:rsidR="00672348">
        <w:t xml:space="preserve"> </w:t>
      </w:r>
      <w:r w:rsidR="00B92943">
        <w:t xml:space="preserve">of the Housing Group </w:t>
      </w:r>
      <w:r w:rsidR="00672348">
        <w:t xml:space="preserve">does </w:t>
      </w:r>
      <w:r>
        <w:t>not receive separate remuneration for their service</w:t>
      </w:r>
      <w:r w:rsidR="00FF0D32">
        <w:t xml:space="preserve">, </w:t>
      </w:r>
      <w:r w:rsidR="00373C13">
        <w:t xml:space="preserve">under </w:t>
      </w:r>
      <w:r w:rsidR="00FF0D32">
        <w:t xml:space="preserve">the terms of </w:t>
      </w:r>
      <w:r w:rsidR="00373C13">
        <w:t>his secondment, Richard’s employment costs will be passed on to the Housing Group.</w:t>
      </w:r>
      <w:r w:rsidR="008B1572">
        <w:t xml:space="preserve"> </w:t>
      </w:r>
    </w:p>
    <w:p w14:paraId="6CCB0E34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4BD5264D" w14:textId="79B0E43D" w:rsidR="004711FC" w:rsidRDefault="00672348" w:rsidP="00892889">
      <w:pPr>
        <w:pStyle w:val="ListParagraph"/>
      </w:pPr>
      <w:r>
        <w:t xml:space="preserve">The </w:t>
      </w:r>
      <w:r w:rsidR="003B4767">
        <w:t>Articles of Association (paras 19 and 21)</w:t>
      </w:r>
      <w:r>
        <w:t xml:space="preserve"> for the Hous</w:t>
      </w:r>
      <w:r w:rsidR="00FF0D32">
        <w:t>ing Group</w:t>
      </w:r>
      <w:r w:rsidR="00892AAD">
        <w:t xml:space="preserve"> stipulate</w:t>
      </w:r>
      <w:r w:rsidR="00B92943">
        <w:t xml:space="preserve"> that </w:t>
      </w:r>
      <w:r w:rsidR="003B4767">
        <w:t xml:space="preserve">each of the separate </w:t>
      </w:r>
      <w:r w:rsidR="00892889">
        <w:t xml:space="preserve">Housing Group </w:t>
      </w:r>
      <w:r w:rsidR="003B4767">
        <w:t xml:space="preserve">company </w:t>
      </w:r>
      <w:r>
        <w:t>Board</w:t>
      </w:r>
      <w:r w:rsidR="00D84486">
        <w:t xml:space="preserve">s shall have a minimum of </w:t>
      </w:r>
      <w:r w:rsidR="00B92943">
        <w:t>three</w:t>
      </w:r>
      <w:r>
        <w:t xml:space="preserve"> Directors</w:t>
      </w:r>
      <w:r w:rsidR="003B4767">
        <w:t>, unless otherwise determined by ordinary resolution</w:t>
      </w:r>
      <w:r w:rsidR="00E87F7A" w:rsidRPr="001356F1">
        <w:t>.</w:t>
      </w:r>
      <w:r w:rsidR="007D703F">
        <w:t xml:space="preserve"> </w:t>
      </w:r>
      <w:r w:rsidR="00892889">
        <w:t>As t</w:t>
      </w:r>
      <w:r w:rsidR="003B4767">
        <w:t xml:space="preserve">he appointment of Directors is a matter reserved to </w:t>
      </w:r>
      <w:r w:rsidR="00892889">
        <w:t>the Shareholder,</w:t>
      </w:r>
      <w:r w:rsidR="002E0AB5">
        <w:t xml:space="preserve"> the appointment recommended in this report would</w:t>
      </w:r>
      <w:r w:rsidR="00FF0D32">
        <w:t>, on implementation, mean that this</w:t>
      </w:r>
      <w:r w:rsidR="002E0AB5">
        <w:t xml:space="preserve"> requirement </w:t>
      </w:r>
      <w:r w:rsidR="00FF0D32">
        <w:t xml:space="preserve">as </w:t>
      </w:r>
      <w:r w:rsidR="00892889">
        <w:t>stipulated in the Articles would be</w:t>
      </w:r>
      <w:r w:rsidR="000C38DA">
        <w:t xml:space="preserve"> fully</w:t>
      </w:r>
      <w:r w:rsidR="002E0AB5">
        <w:t xml:space="preserve"> met. </w:t>
      </w:r>
    </w:p>
    <w:p w14:paraId="4B2B24D9" w14:textId="77777777" w:rsidR="004711FC" w:rsidRPr="001356F1" w:rsidRDefault="004711FC" w:rsidP="00E206D6">
      <w:pPr>
        <w:pStyle w:val="ListParagraph"/>
        <w:numPr>
          <w:ilvl w:val="0"/>
          <w:numId w:val="0"/>
        </w:numPr>
        <w:ind w:left="426"/>
      </w:pPr>
    </w:p>
    <w:p w14:paraId="5131809B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06F11EC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1FAA19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D8196" w14:textId="77777777" w:rsidR="00E87F7A" w:rsidRPr="001356F1" w:rsidRDefault="00132AEB" w:rsidP="00A46E98">
            <w:r>
              <w:t>Lindsay Cane (Company Secretary, Housing Group)</w:t>
            </w:r>
          </w:p>
        </w:tc>
      </w:tr>
      <w:tr w:rsidR="00DF093E" w:rsidRPr="001356F1" w14:paraId="5A8EE80C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B357B9F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DD474B9" w14:textId="77777777" w:rsidR="00E87F7A" w:rsidRPr="001356F1" w:rsidRDefault="00E87F7A" w:rsidP="00132AEB">
            <w:r w:rsidRPr="001356F1">
              <w:t xml:space="preserve">01865 </w:t>
            </w:r>
            <w:r w:rsidR="00132AEB">
              <w:t>252570</w:t>
            </w:r>
            <w:r w:rsidRPr="001356F1">
              <w:t xml:space="preserve">  </w:t>
            </w:r>
          </w:p>
        </w:tc>
      </w:tr>
      <w:tr w:rsidR="005570B5" w:rsidRPr="001356F1" w14:paraId="64177D5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7690487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F85A9" w14:textId="77777777" w:rsidR="00E87F7A" w:rsidRPr="001356F1" w:rsidRDefault="00132AEB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lcane@oxford.gov.uk</w:t>
            </w:r>
          </w:p>
        </w:tc>
      </w:tr>
    </w:tbl>
    <w:p w14:paraId="74301705" w14:textId="77777777" w:rsidR="00433B96" w:rsidRPr="001356F1" w:rsidRDefault="00433B96" w:rsidP="004A6D2F"/>
    <w:p w14:paraId="6A3D4064" w14:textId="77777777" w:rsidR="0054712D" w:rsidRDefault="0054712D" w:rsidP="0093067A"/>
    <w:p w14:paraId="4ADC29A6" w14:textId="77777777"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ACAB3" w15:done="0"/>
  <w15:commentEx w15:paraId="05749D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7A32" w14:textId="77777777" w:rsidR="003D2FDF" w:rsidRDefault="003D2FDF" w:rsidP="004A6D2F">
      <w:r>
        <w:separator/>
      </w:r>
    </w:p>
  </w:endnote>
  <w:endnote w:type="continuationSeparator" w:id="0">
    <w:p w14:paraId="22141E9F" w14:textId="77777777" w:rsidR="003D2FDF" w:rsidRDefault="003D2FDF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5E57" w14:textId="77777777" w:rsidR="00364FAD" w:rsidRDefault="00364FAD" w:rsidP="004A6D2F">
    <w:pPr>
      <w:pStyle w:val="Footer"/>
    </w:pPr>
    <w:r>
      <w:t>Do not use a footer or page numbers.</w:t>
    </w:r>
  </w:p>
  <w:p w14:paraId="76C60625" w14:textId="77777777" w:rsidR="00364FAD" w:rsidRDefault="00364FAD" w:rsidP="004A6D2F">
    <w:pPr>
      <w:pStyle w:val="Footer"/>
    </w:pPr>
  </w:p>
  <w:p w14:paraId="25E6B1C7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1C3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94C4" w14:textId="77777777" w:rsidR="003D2FDF" w:rsidRDefault="003D2FDF" w:rsidP="004A6D2F">
      <w:r>
        <w:separator/>
      </w:r>
    </w:p>
  </w:footnote>
  <w:footnote w:type="continuationSeparator" w:id="0">
    <w:p w14:paraId="69569042" w14:textId="77777777" w:rsidR="003D2FDF" w:rsidRDefault="003D2FDF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71A5" w14:textId="77777777" w:rsidR="00D5547E" w:rsidRDefault="00E1104C" w:rsidP="00D5547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CBADA4" wp14:editId="64D122D3">
              <wp:simplePos x="0" y="0"/>
              <wp:positionH relativeFrom="column">
                <wp:posOffset>108585</wp:posOffset>
              </wp:positionH>
              <wp:positionV relativeFrom="paragraph">
                <wp:posOffset>632460</wp:posOffset>
              </wp:positionV>
              <wp:extent cx="16008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008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9.8pt" to="134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" strokecolor="blue" strokeweight="1.5pt">
              <o:lock v:ext="edit" shapetype="f"/>
            </v:line>
          </w:pict>
        </mc:Fallback>
      </mc:AlternateContent>
    </w:r>
    <w:r w:rsidRPr="00733AB3"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1E5F9" wp14:editId="03505BD3">
              <wp:simplePos x="0" y="0"/>
              <wp:positionH relativeFrom="column">
                <wp:posOffset>-1905</wp:posOffset>
              </wp:positionH>
              <wp:positionV relativeFrom="paragraph">
                <wp:posOffset>112957</wp:posOffset>
              </wp:positionV>
              <wp:extent cx="2374265" cy="94676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6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CAC83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  <w:t>OCHL</w:t>
                          </w:r>
                        </w:p>
                        <w:p w14:paraId="0B02C7A1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Gulim" w:eastAsia="Gulim" w:hAnsi="Gulim" w:cs="Tahoma"/>
                              <w:b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4B11B26" w14:textId="77777777" w:rsidR="00733AB3" w:rsidRDefault="00733AB3" w:rsidP="00733AB3">
                          <w:pPr>
                            <w:pStyle w:val="Header"/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  <w:t>Oxford City Housing Limited</w:t>
                          </w:r>
                        </w:p>
                        <w:p w14:paraId="196B2200" w14:textId="77777777" w:rsidR="00733AB3" w:rsidRDefault="00733A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8.9pt;width:186.95pt;height:74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9aDAIAAPQ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" filled="f" stroked="f">
              <v:textbox>
                <w:txbxContent>
                  <w:p w14:paraId="14CCAC83" w14:textId="77777777" w:rsidR="00733AB3" w:rsidRPr="0038198E" w:rsidRDefault="00733AB3" w:rsidP="00733AB3">
                    <w:pPr>
                      <w:spacing w:after="0"/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  <w:t>OCHL</w:t>
                    </w:r>
                  </w:p>
                  <w:p w14:paraId="0B02C7A1" w14:textId="77777777" w:rsidR="00733AB3" w:rsidRPr="0038198E" w:rsidRDefault="00733AB3" w:rsidP="00733AB3">
                    <w:pPr>
                      <w:spacing w:after="0"/>
                      <w:rPr>
                        <w:rFonts w:ascii="Gulim" w:eastAsia="Gulim" w:hAnsi="Gulim" w:cs="Tahoma"/>
                        <w:b/>
                        <w:color w:val="0000FF"/>
                        <w:sz w:val="20"/>
                        <w:szCs w:val="20"/>
                        <w:lang w:eastAsia="en-US"/>
                      </w:rPr>
                    </w:pPr>
                  </w:p>
                  <w:p w14:paraId="04B11B26" w14:textId="77777777" w:rsidR="00733AB3" w:rsidRDefault="00733AB3" w:rsidP="00733AB3">
                    <w:pPr>
                      <w:pStyle w:val="Header"/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  <w:t>Oxford City Housing Limited</w:t>
                    </w:r>
                  </w:p>
                  <w:p w14:paraId="196B2200" w14:textId="77777777" w:rsidR="00733AB3" w:rsidRDefault="00733AB3"/>
                </w:txbxContent>
              </v:textbox>
            </v:shape>
          </w:pict>
        </mc:Fallback>
      </mc:AlternateContent>
    </w:r>
    <w:r w:rsidR="00484329">
      <w:rPr>
        <w:noProof/>
      </w:rPr>
      <w:drawing>
        <wp:inline distT="0" distB="0" distL="0" distR="0" wp14:anchorId="3CDF6360" wp14:editId="60F43CC8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6B251" w14:textId="77777777" w:rsidR="00E1104C" w:rsidRDefault="00E1104C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2C9A"/>
    <w:rsid w:val="000C38DA"/>
    <w:rsid w:val="000C3928"/>
    <w:rsid w:val="000C5E8E"/>
    <w:rsid w:val="000D255B"/>
    <w:rsid w:val="000D5462"/>
    <w:rsid w:val="000F4751"/>
    <w:rsid w:val="0010524C"/>
    <w:rsid w:val="00111FB1"/>
    <w:rsid w:val="00113418"/>
    <w:rsid w:val="00132AEB"/>
    <w:rsid w:val="001356F1"/>
    <w:rsid w:val="00136994"/>
    <w:rsid w:val="00136FA0"/>
    <w:rsid w:val="0014128E"/>
    <w:rsid w:val="00151888"/>
    <w:rsid w:val="001642A1"/>
    <w:rsid w:val="00170A2D"/>
    <w:rsid w:val="001808BC"/>
    <w:rsid w:val="00181E36"/>
    <w:rsid w:val="00182B81"/>
    <w:rsid w:val="0018619D"/>
    <w:rsid w:val="001A011E"/>
    <w:rsid w:val="001A043A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5273"/>
    <w:rsid w:val="00247C29"/>
    <w:rsid w:val="00260467"/>
    <w:rsid w:val="00263EA3"/>
    <w:rsid w:val="00284F85"/>
    <w:rsid w:val="00290915"/>
    <w:rsid w:val="002A22E2"/>
    <w:rsid w:val="002C64F7"/>
    <w:rsid w:val="002E0AB5"/>
    <w:rsid w:val="002F41F2"/>
    <w:rsid w:val="00301BF3"/>
    <w:rsid w:val="0030208D"/>
    <w:rsid w:val="00322B92"/>
    <w:rsid w:val="00323418"/>
    <w:rsid w:val="003357BF"/>
    <w:rsid w:val="00364FAD"/>
    <w:rsid w:val="0036738F"/>
    <w:rsid w:val="0036759C"/>
    <w:rsid w:val="00367AE5"/>
    <w:rsid w:val="00367D71"/>
    <w:rsid w:val="00373C13"/>
    <w:rsid w:val="0037705F"/>
    <w:rsid w:val="0038150A"/>
    <w:rsid w:val="00386BA6"/>
    <w:rsid w:val="00396FC3"/>
    <w:rsid w:val="003B4767"/>
    <w:rsid w:val="003B6E75"/>
    <w:rsid w:val="003B7DA1"/>
    <w:rsid w:val="003D0379"/>
    <w:rsid w:val="003D2574"/>
    <w:rsid w:val="003D2FDF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84329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197A"/>
    <w:rsid w:val="0050321C"/>
    <w:rsid w:val="00541445"/>
    <w:rsid w:val="0054712D"/>
    <w:rsid w:val="00547EF6"/>
    <w:rsid w:val="00550467"/>
    <w:rsid w:val="0055182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3653"/>
    <w:rsid w:val="005E022E"/>
    <w:rsid w:val="005E5215"/>
    <w:rsid w:val="005F7F7E"/>
    <w:rsid w:val="00614693"/>
    <w:rsid w:val="00623C2F"/>
    <w:rsid w:val="00633578"/>
    <w:rsid w:val="00637068"/>
    <w:rsid w:val="006370CC"/>
    <w:rsid w:val="00650811"/>
    <w:rsid w:val="00661D3E"/>
    <w:rsid w:val="00665B4C"/>
    <w:rsid w:val="00672348"/>
    <w:rsid w:val="00692627"/>
    <w:rsid w:val="006969E7"/>
    <w:rsid w:val="006A3643"/>
    <w:rsid w:val="006C2A29"/>
    <w:rsid w:val="006C64CF"/>
    <w:rsid w:val="006D17B1"/>
    <w:rsid w:val="006D4752"/>
    <w:rsid w:val="006D543F"/>
    <w:rsid w:val="006D708A"/>
    <w:rsid w:val="006E14C1"/>
    <w:rsid w:val="006F0292"/>
    <w:rsid w:val="006F27FA"/>
    <w:rsid w:val="006F416B"/>
    <w:rsid w:val="006F519B"/>
    <w:rsid w:val="00704771"/>
    <w:rsid w:val="00713675"/>
    <w:rsid w:val="00715823"/>
    <w:rsid w:val="007213DE"/>
    <w:rsid w:val="00733AB3"/>
    <w:rsid w:val="00737B93"/>
    <w:rsid w:val="00745BF0"/>
    <w:rsid w:val="007615FE"/>
    <w:rsid w:val="00761D6B"/>
    <w:rsid w:val="0076655C"/>
    <w:rsid w:val="007742DC"/>
    <w:rsid w:val="00791437"/>
    <w:rsid w:val="007B0C2C"/>
    <w:rsid w:val="007B278E"/>
    <w:rsid w:val="007C5C23"/>
    <w:rsid w:val="007D703F"/>
    <w:rsid w:val="007E2A26"/>
    <w:rsid w:val="007F2348"/>
    <w:rsid w:val="00803F07"/>
    <w:rsid w:val="00805561"/>
    <w:rsid w:val="0080749A"/>
    <w:rsid w:val="00821FB8"/>
    <w:rsid w:val="00822ACD"/>
    <w:rsid w:val="00855C66"/>
    <w:rsid w:val="00871EE4"/>
    <w:rsid w:val="00892889"/>
    <w:rsid w:val="00892AAD"/>
    <w:rsid w:val="008B1572"/>
    <w:rsid w:val="008B293F"/>
    <w:rsid w:val="008B3DB3"/>
    <w:rsid w:val="008B7371"/>
    <w:rsid w:val="008D3DDB"/>
    <w:rsid w:val="008F573F"/>
    <w:rsid w:val="009034EC"/>
    <w:rsid w:val="0093067A"/>
    <w:rsid w:val="00941C60"/>
    <w:rsid w:val="00941FD1"/>
    <w:rsid w:val="00961028"/>
    <w:rsid w:val="00965B1E"/>
    <w:rsid w:val="00966D42"/>
    <w:rsid w:val="00971689"/>
    <w:rsid w:val="00973E90"/>
    <w:rsid w:val="00975B07"/>
    <w:rsid w:val="00980B4A"/>
    <w:rsid w:val="0099667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06D1"/>
    <w:rsid w:val="00A714BB"/>
    <w:rsid w:val="00A77147"/>
    <w:rsid w:val="00A92D8F"/>
    <w:rsid w:val="00A955E7"/>
    <w:rsid w:val="00AB2988"/>
    <w:rsid w:val="00AB7999"/>
    <w:rsid w:val="00AD3292"/>
    <w:rsid w:val="00AE7AF0"/>
    <w:rsid w:val="00B12625"/>
    <w:rsid w:val="00B500CA"/>
    <w:rsid w:val="00B55E39"/>
    <w:rsid w:val="00B86314"/>
    <w:rsid w:val="00B92943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A94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D7B95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09D3"/>
    <w:rsid w:val="00D84486"/>
    <w:rsid w:val="00D869A1"/>
    <w:rsid w:val="00D93E91"/>
    <w:rsid w:val="00DA413F"/>
    <w:rsid w:val="00DA4584"/>
    <w:rsid w:val="00DA50F2"/>
    <w:rsid w:val="00DA614B"/>
    <w:rsid w:val="00DC3060"/>
    <w:rsid w:val="00DE0FB2"/>
    <w:rsid w:val="00DF093E"/>
    <w:rsid w:val="00E01F42"/>
    <w:rsid w:val="00E1104C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1163"/>
    <w:rsid w:val="00ED52CA"/>
    <w:rsid w:val="00ED5860"/>
    <w:rsid w:val="00EE35C9"/>
    <w:rsid w:val="00EF471C"/>
    <w:rsid w:val="00F05ECA"/>
    <w:rsid w:val="00F3566E"/>
    <w:rsid w:val="00F375FB"/>
    <w:rsid w:val="00F41AC1"/>
    <w:rsid w:val="00F4367A"/>
    <w:rsid w:val="00F445B1"/>
    <w:rsid w:val="00F45CD4"/>
    <w:rsid w:val="00F54718"/>
    <w:rsid w:val="00F66DCA"/>
    <w:rsid w:val="00F71181"/>
    <w:rsid w:val="00F74F53"/>
    <w:rsid w:val="00F7606D"/>
    <w:rsid w:val="00F81670"/>
    <w:rsid w:val="00F82024"/>
    <w:rsid w:val="00F95BC9"/>
    <w:rsid w:val="00FA36D8"/>
    <w:rsid w:val="00FA624C"/>
    <w:rsid w:val="00FD0FAC"/>
    <w:rsid w:val="00FD1DFA"/>
    <w:rsid w:val="00FD4966"/>
    <w:rsid w:val="00FE57DC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95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9041-579E-49D2-B45D-DC30CE5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</TotalTime>
  <Pages>2</Pages>
  <Words>539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2</cp:revision>
  <cp:lastPrinted>2015-07-03T13:50:00Z</cp:lastPrinted>
  <dcterms:created xsi:type="dcterms:W3CDTF">2019-05-21T13:23:00Z</dcterms:created>
  <dcterms:modified xsi:type="dcterms:W3CDTF">2019-05-21T13:23:00Z</dcterms:modified>
</cp:coreProperties>
</file>